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98C" w:rsidRPr="005D798C" w:rsidRDefault="005D798C" w:rsidP="005D798C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18"/>
          <w:szCs w:val="18"/>
          <w:lang w:val="en-US"/>
        </w:rPr>
      </w:pPr>
      <w:r w:rsidRPr="005D798C">
        <w:rPr>
          <w:rFonts w:asciiTheme="majorHAnsi" w:hAnsiTheme="majorHAnsi" w:cs="Times"/>
          <w:b/>
          <w:bCs/>
          <w:color w:val="201F1F"/>
          <w:sz w:val="18"/>
          <w:szCs w:val="18"/>
          <w:lang w:val="en-US"/>
        </w:rPr>
        <w:t>Esimerkkejä rahoitusvarallisuuteen sijoittamisesta:</w:t>
      </w:r>
    </w:p>
    <w:tbl>
      <w:tblPr>
        <w:tblW w:w="15440" w:type="dxa"/>
        <w:tblInd w:w="-86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2700"/>
        <w:gridCol w:w="2680"/>
        <w:gridCol w:w="2700"/>
        <w:gridCol w:w="2700"/>
        <w:gridCol w:w="2720"/>
      </w:tblGrid>
      <w:tr w:rsidR="005D798C" w:rsidRPr="005D798C" w:rsidTr="005D798C">
        <w:tblPrEx>
          <w:tblCellMar>
            <w:top w:w="0" w:type="dxa"/>
            <w:bottom w:w="0" w:type="dxa"/>
          </w:tblCellMar>
        </w:tblPrEx>
        <w:tc>
          <w:tcPr>
            <w:tcW w:w="1940" w:type="dxa"/>
            <w:shd w:val="clear" w:color="auto" w:fill="82828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</w:p>
        </w:tc>
        <w:tc>
          <w:tcPr>
            <w:tcW w:w="2700" w:type="dxa"/>
            <w:shd w:val="clear" w:color="auto" w:fill="82828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proofErr w:type="gramStart"/>
            <w:r w:rsidRPr="005D798C">
              <w:rPr>
                <w:rFonts w:asciiTheme="majorHAnsi" w:hAnsiTheme="majorHAnsi" w:cs="Times"/>
                <w:b/>
                <w:bCs/>
                <w:color w:val="FFFFFF"/>
                <w:sz w:val="18"/>
                <w:szCs w:val="18"/>
                <w:lang w:val="en-US"/>
              </w:rPr>
              <w:t>pankkitalletus</w:t>
            </w:r>
            <w:proofErr w:type="gramEnd"/>
            <w:r w:rsidRPr="005D798C">
              <w:rPr>
                <w:rFonts w:asciiTheme="majorHAnsi" w:hAnsiTheme="majorHAnsi" w:cs="Times"/>
                <w:b/>
                <w:bCs/>
                <w:color w:val="FFFFFF"/>
                <w:sz w:val="18"/>
                <w:szCs w:val="18"/>
                <w:lang w:val="en-US"/>
              </w:rPr>
              <w:t xml:space="preserve"> (säästötili)</w:t>
            </w:r>
          </w:p>
        </w:tc>
        <w:tc>
          <w:tcPr>
            <w:tcW w:w="2680" w:type="dxa"/>
            <w:shd w:val="clear" w:color="auto" w:fill="82828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proofErr w:type="gramStart"/>
            <w:r w:rsidRPr="005D798C">
              <w:rPr>
                <w:rFonts w:asciiTheme="majorHAnsi" w:hAnsiTheme="majorHAnsi" w:cs="Times"/>
                <w:b/>
                <w:bCs/>
                <w:color w:val="FFFFFF"/>
                <w:sz w:val="18"/>
                <w:szCs w:val="18"/>
                <w:lang w:val="en-US"/>
              </w:rPr>
              <w:t>joukkovelkakirjat</w:t>
            </w:r>
            <w:proofErr w:type="gramEnd"/>
          </w:p>
        </w:tc>
        <w:tc>
          <w:tcPr>
            <w:tcW w:w="2700" w:type="dxa"/>
            <w:shd w:val="clear" w:color="auto" w:fill="82828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proofErr w:type="gramStart"/>
            <w:r w:rsidRPr="005D798C">
              <w:rPr>
                <w:rFonts w:asciiTheme="majorHAnsi" w:hAnsiTheme="majorHAnsi" w:cs="Times"/>
                <w:b/>
                <w:bCs/>
                <w:color w:val="FFFFFF"/>
                <w:sz w:val="18"/>
                <w:szCs w:val="18"/>
                <w:lang w:val="en-US"/>
              </w:rPr>
              <w:t>osakkeet</w:t>
            </w:r>
            <w:proofErr w:type="gramEnd"/>
            <w:r w:rsidRPr="005D798C">
              <w:rPr>
                <w:rFonts w:asciiTheme="majorHAnsi" w:hAnsiTheme="majorHAnsi" w:cs="Times"/>
                <w:b/>
                <w:bCs/>
                <w:color w:val="FFFFFF"/>
                <w:sz w:val="18"/>
                <w:szCs w:val="18"/>
                <w:lang w:val="en-US"/>
              </w:rPr>
              <w:t>, osakerahastot</w:t>
            </w:r>
          </w:p>
        </w:tc>
        <w:tc>
          <w:tcPr>
            <w:tcW w:w="2700" w:type="dxa"/>
            <w:shd w:val="clear" w:color="auto" w:fill="82828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proofErr w:type="gramStart"/>
            <w:r w:rsidRPr="005D798C">
              <w:rPr>
                <w:rFonts w:asciiTheme="majorHAnsi" w:hAnsiTheme="majorHAnsi" w:cs="Times"/>
                <w:b/>
                <w:bCs/>
                <w:color w:val="FFFFFF"/>
                <w:sz w:val="18"/>
                <w:szCs w:val="18"/>
                <w:lang w:val="en-US"/>
              </w:rPr>
              <w:t>valuutta</w:t>
            </w:r>
            <w:proofErr w:type="gramEnd"/>
            <w:r w:rsidRPr="005D798C">
              <w:rPr>
                <w:rFonts w:asciiTheme="majorHAnsi" w:hAnsiTheme="majorHAnsi" w:cs="Times"/>
                <w:b/>
                <w:bCs/>
                <w:color w:val="FFFFFF"/>
                <w:sz w:val="18"/>
                <w:szCs w:val="18"/>
                <w:lang w:val="en-US"/>
              </w:rPr>
              <w:t>- keinottelu</w:t>
            </w:r>
          </w:p>
        </w:tc>
        <w:tc>
          <w:tcPr>
            <w:tcW w:w="2720" w:type="dxa"/>
            <w:shd w:val="clear" w:color="auto" w:fill="82828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proofErr w:type="gramStart"/>
            <w:r w:rsidRPr="005D798C">
              <w:rPr>
                <w:rFonts w:asciiTheme="majorHAnsi" w:hAnsiTheme="majorHAnsi" w:cs="Times"/>
                <w:b/>
                <w:bCs/>
                <w:color w:val="FFFFFF"/>
                <w:sz w:val="18"/>
                <w:szCs w:val="18"/>
                <w:lang w:val="en-US"/>
              </w:rPr>
              <w:t>uhkapelit</w:t>
            </w:r>
            <w:proofErr w:type="gramEnd"/>
          </w:p>
        </w:tc>
      </w:tr>
      <w:tr w:rsidR="005D798C" w:rsidRPr="005D798C" w:rsidTr="005D798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40" w:type="dxa"/>
            <w:shd w:val="clear" w:color="auto" w:fill="DDDDDD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proofErr w:type="gramStart"/>
            <w:r w:rsidRPr="005D798C">
              <w:rPr>
                <w:rFonts w:asciiTheme="majorHAnsi" w:hAnsiTheme="majorHAnsi" w:cs="Times"/>
                <w:b/>
                <w:bCs/>
                <w:color w:val="201F1F"/>
                <w:sz w:val="18"/>
                <w:szCs w:val="18"/>
                <w:lang w:val="en-US"/>
              </w:rPr>
              <w:t>vahvuuksia</w:t>
            </w:r>
            <w:proofErr w:type="gramEnd"/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– 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varma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tuotto – pienenkin</w:t>
            </w:r>
          </w:p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summan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voi sijoittaa</w:t>
            </w:r>
          </w:p>
        </w:tc>
        <w:tc>
          <w:tcPr>
            <w:tcW w:w="2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– 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valtion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obligaatiot varmoja sijoituskohteita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  <w:t>–  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tuotto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melko varma </w:t>
            </w:r>
          </w:p>
          <w:p w:rsidR="005D798C" w:rsidRPr="005D798C" w:rsidRDefault="005D798C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  <w:t>–  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tuotto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ollut keskimäärin parempi kuin esimerkiksi pankkitalletuk- sissa </w:t>
            </w:r>
          </w:p>
          <w:p w:rsidR="005D798C" w:rsidRPr="005D798C" w:rsidRDefault="005D798C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  <w:t>–  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sijoitusrahas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- toissa apuna asiantuntijat 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– 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asiantuntija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voi saada suuret voitot</w:t>
            </w:r>
          </w:p>
        </w:tc>
        <w:tc>
          <w:tcPr>
            <w:tcW w:w="27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– 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suuret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tuotto- odotukset, eurolla miljo- nääriksi</w:t>
            </w:r>
          </w:p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- 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asiantuntijat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voivat ansaita (esimerkiksi veikkaus, pokeri)</w:t>
            </w:r>
          </w:p>
        </w:tc>
      </w:tr>
      <w:tr w:rsidR="005D798C" w:rsidRPr="005D798C" w:rsidTr="005D798C">
        <w:tblPrEx>
          <w:tblCellMar>
            <w:top w:w="0" w:type="dxa"/>
            <w:bottom w:w="0" w:type="dxa"/>
          </w:tblCellMar>
        </w:tblPrEx>
        <w:tc>
          <w:tcPr>
            <w:tcW w:w="1940" w:type="dxa"/>
            <w:shd w:val="clear" w:color="auto" w:fill="DDDDDD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proofErr w:type="gramStart"/>
            <w:r w:rsidRPr="005D798C">
              <w:rPr>
                <w:rFonts w:asciiTheme="majorHAnsi" w:hAnsiTheme="majorHAnsi" w:cs="Times"/>
                <w:b/>
                <w:bCs/>
                <w:color w:val="201F1F"/>
                <w:sz w:val="18"/>
                <w:szCs w:val="18"/>
                <w:lang w:val="en-US"/>
              </w:rPr>
              <w:t>heikkouksia</w:t>
            </w:r>
            <w:proofErr w:type="gramEnd"/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– 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matala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korko – rahat voivat olla</w:t>
            </w:r>
          </w:p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kauan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kiinni sijoituksessa</w:t>
            </w:r>
          </w:p>
        </w:tc>
        <w:tc>
          <w:tcPr>
            <w:tcW w:w="2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  <w:t>–  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tuotto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-odotukset ovat maltillisia </w:t>
            </w:r>
          </w:p>
          <w:p w:rsidR="005D798C" w:rsidRPr="005D798C" w:rsidRDefault="005D798C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  <w:t>–  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sijoitus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voidaan </w:t>
            </w:r>
            <w:r w:rsidRPr="005D798C">
              <w:rPr>
                <w:rFonts w:asciiTheme="majorHAnsi" w:hAnsiTheme="majorHAnsi" w:cs="Times"/>
                <w:sz w:val="18"/>
                <w:szCs w:val="18"/>
                <w:lang w:val="en-US"/>
              </w:rPr>
              <w:t> </w:t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menettää koko- naan (koskee yritysten joukko- velkakirjoja eli debentuureja) 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  <w:t>–  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osakesijoitta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- minen vaatii perehtymistä </w:t>
            </w:r>
          </w:p>
          <w:p w:rsidR="005D798C" w:rsidRPr="005D798C" w:rsidRDefault="005D798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  <w:t>–  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tuoton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saaminen voi kestää kauan </w:t>
            </w:r>
          </w:p>
          <w:p w:rsidR="005D798C" w:rsidRPr="005D798C" w:rsidRDefault="005D798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  <w:t>–  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rahat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voi menet- </w:t>
            </w:r>
            <w:r w:rsidRPr="005D798C">
              <w:rPr>
                <w:rFonts w:asciiTheme="majorHAnsi" w:hAnsiTheme="majorHAnsi" w:cs="Times"/>
                <w:sz w:val="18"/>
                <w:szCs w:val="18"/>
                <w:lang w:val="en-US"/>
              </w:rPr>
              <w:t> </w:t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tää kokonaan </w:t>
            </w:r>
          </w:p>
          <w:p w:rsidR="005D798C" w:rsidRPr="005D798C" w:rsidRDefault="005D798C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  <w:t>–  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sijoitusrahas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- </w:t>
            </w:r>
            <w:r w:rsidRPr="005D798C">
              <w:rPr>
                <w:rFonts w:asciiTheme="majorHAnsi" w:hAnsiTheme="majorHAnsi" w:cs="Times"/>
                <w:sz w:val="18"/>
                <w:szCs w:val="18"/>
                <w:lang w:val="en-US"/>
              </w:rPr>
              <w:t> </w:t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toissa osa tuotosta menee rahastolle 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  <w:t>–  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valuuttojen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vaihtaminen maksaa </w:t>
            </w:r>
          </w:p>
          <w:p w:rsidR="005D798C" w:rsidRPr="005D798C" w:rsidRDefault="005D798C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  <w:t>–  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valuuttojen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arvon vaihtelu vaikeasti ennus- tettavissa </w:t>
            </w:r>
          </w:p>
        </w:tc>
        <w:tc>
          <w:tcPr>
            <w:tcW w:w="27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- 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riski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sijoituksen menettämiseen on suuri</w:t>
            </w:r>
          </w:p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– 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peliriippuvuus</w:t>
            </w:r>
            <w:proofErr w:type="gramEnd"/>
          </w:p>
        </w:tc>
      </w:tr>
    </w:tbl>
    <w:p w:rsidR="005D798C" w:rsidRPr="005D798C" w:rsidRDefault="005D798C" w:rsidP="005D798C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bCs/>
          <w:color w:val="201F1F"/>
          <w:sz w:val="18"/>
          <w:szCs w:val="18"/>
          <w:lang w:val="en-US"/>
        </w:rPr>
      </w:pPr>
    </w:p>
    <w:p w:rsidR="005D798C" w:rsidRPr="005D798C" w:rsidRDefault="005D798C" w:rsidP="005D798C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bCs/>
          <w:color w:val="201F1F"/>
          <w:sz w:val="18"/>
          <w:szCs w:val="18"/>
          <w:lang w:val="en-US"/>
        </w:rPr>
      </w:pPr>
    </w:p>
    <w:p w:rsidR="005D798C" w:rsidRDefault="005D798C" w:rsidP="005D798C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bCs/>
          <w:color w:val="201F1F"/>
          <w:sz w:val="18"/>
          <w:szCs w:val="18"/>
          <w:lang w:val="en-US"/>
        </w:rPr>
      </w:pPr>
    </w:p>
    <w:p w:rsidR="005D798C" w:rsidRDefault="005D798C" w:rsidP="005D798C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bCs/>
          <w:color w:val="201F1F"/>
          <w:sz w:val="18"/>
          <w:szCs w:val="18"/>
          <w:lang w:val="en-US"/>
        </w:rPr>
      </w:pPr>
    </w:p>
    <w:p w:rsidR="005D798C" w:rsidRPr="005D798C" w:rsidRDefault="005D798C" w:rsidP="005D798C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bCs/>
          <w:color w:val="201F1F"/>
          <w:sz w:val="18"/>
          <w:szCs w:val="18"/>
          <w:lang w:val="en-US"/>
        </w:rPr>
      </w:pPr>
    </w:p>
    <w:p w:rsidR="005D798C" w:rsidRPr="005D798C" w:rsidRDefault="005D798C" w:rsidP="005D798C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bCs/>
          <w:color w:val="201F1F"/>
          <w:sz w:val="18"/>
          <w:szCs w:val="18"/>
          <w:lang w:val="en-US"/>
        </w:rPr>
      </w:pPr>
    </w:p>
    <w:p w:rsidR="005D798C" w:rsidRPr="005D798C" w:rsidRDefault="005D798C" w:rsidP="005D798C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bCs/>
          <w:color w:val="201F1F"/>
          <w:sz w:val="18"/>
          <w:szCs w:val="18"/>
          <w:lang w:val="en-US"/>
        </w:rPr>
      </w:pPr>
    </w:p>
    <w:p w:rsidR="005D798C" w:rsidRPr="005D798C" w:rsidRDefault="005D798C" w:rsidP="005D798C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bCs/>
          <w:color w:val="201F1F"/>
          <w:sz w:val="18"/>
          <w:szCs w:val="18"/>
          <w:lang w:val="en-US"/>
        </w:rPr>
      </w:pPr>
    </w:p>
    <w:p w:rsidR="005D798C" w:rsidRPr="005D798C" w:rsidRDefault="005D798C" w:rsidP="005D798C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18"/>
          <w:szCs w:val="18"/>
          <w:lang w:val="en-US"/>
        </w:rPr>
      </w:pPr>
      <w:r w:rsidRPr="005D798C">
        <w:rPr>
          <w:rFonts w:asciiTheme="majorHAnsi" w:hAnsiTheme="majorHAnsi" w:cs="Times"/>
          <w:b/>
          <w:bCs/>
          <w:color w:val="201F1F"/>
          <w:sz w:val="18"/>
          <w:szCs w:val="18"/>
          <w:lang w:val="en-US"/>
        </w:rPr>
        <w:lastRenderedPageBreak/>
        <w:t>Esimerkkejä kiinteään omaisuuteen sijoittamisesta: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3380"/>
        <w:gridCol w:w="3380"/>
        <w:gridCol w:w="3380"/>
        <w:gridCol w:w="3400"/>
      </w:tblGrid>
      <w:tr w:rsidR="005D798C" w:rsidRPr="005D798C">
        <w:tblPrEx>
          <w:tblCellMar>
            <w:top w:w="0" w:type="dxa"/>
            <w:bottom w:w="0" w:type="dxa"/>
          </w:tblCellMar>
        </w:tblPrEx>
        <w:tc>
          <w:tcPr>
            <w:tcW w:w="1940" w:type="dxa"/>
            <w:shd w:val="clear" w:color="auto" w:fill="82828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</w:p>
        </w:tc>
        <w:tc>
          <w:tcPr>
            <w:tcW w:w="3380" w:type="dxa"/>
            <w:shd w:val="clear" w:color="auto" w:fill="82828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proofErr w:type="gramStart"/>
            <w:r w:rsidRPr="005D798C">
              <w:rPr>
                <w:rFonts w:asciiTheme="majorHAnsi" w:hAnsiTheme="majorHAnsi" w:cs="Times"/>
                <w:b/>
                <w:bCs/>
                <w:color w:val="FFFFFF"/>
                <w:sz w:val="18"/>
                <w:szCs w:val="18"/>
                <w:lang w:val="en-US"/>
              </w:rPr>
              <w:t>asunto</w:t>
            </w:r>
            <w:proofErr w:type="gramEnd"/>
          </w:p>
        </w:tc>
        <w:tc>
          <w:tcPr>
            <w:tcW w:w="3380" w:type="dxa"/>
            <w:shd w:val="clear" w:color="auto" w:fill="82828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proofErr w:type="gramStart"/>
            <w:r w:rsidRPr="005D798C">
              <w:rPr>
                <w:rFonts w:asciiTheme="majorHAnsi" w:hAnsiTheme="majorHAnsi" w:cs="Times"/>
                <w:b/>
                <w:bCs/>
                <w:color w:val="FFFFFF"/>
                <w:sz w:val="18"/>
                <w:szCs w:val="18"/>
                <w:lang w:val="en-US"/>
              </w:rPr>
              <w:t>taide</w:t>
            </w:r>
            <w:proofErr w:type="gramEnd"/>
          </w:p>
        </w:tc>
        <w:tc>
          <w:tcPr>
            <w:tcW w:w="3380" w:type="dxa"/>
            <w:shd w:val="clear" w:color="auto" w:fill="82828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proofErr w:type="gramStart"/>
            <w:r w:rsidRPr="005D798C">
              <w:rPr>
                <w:rFonts w:asciiTheme="majorHAnsi" w:hAnsiTheme="majorHAnsi" w:cs="Times"/>
                <w:b/>
                <w:bCs/>
                <w:color w:val="FFFFFF"/>
                <w:sz w:val="18"/>
                <w:szCs w:val="18"/>
                <w:lang w:val="en-US"/>
              </w:rPr>
              <w:t>metsä</w:t>
            </w:r>
            <w:proofErr w:type="gramEnd"/>
          </w:p>
        </w:tc>
        <w:tc>
          <w:tcPr>
            <w:tcW w:w="3400" w:type="dxa"/>
            <w:shd w:val="clear" w:color="auto" w:fill="82828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proofErr w:type="gramStart"/>
            <w:r w:rsidRPr="005D798C">
              <w:rPr>
                <w:rFonts w:asciiTheme="majorHAnsi" w:hAnsiTheme="majorHAnsi" w:cs="Times"/>
                <w:b/>
                <w:bCs/>
                <w:color w:val="FFFFFF"/>
                <w:sz w:val="18"/>
                <w:szCs w:val="18"/>
                <w:lang w:val="en-US"/>
              </w:rPr>
              <w:t>jalometallit</w:t>
            </w:r>
            <w:proofErr w:type="gramEnd"/>
            <w:r w:rsidRPr="005D798C">
              <w:rPr>
                <w:rFonts w:asciiTheme="majorHAnsi" w:hAnsiTheme="majorHAnsi" w:cs="Times"/>
                <w:b/>
                <w:bCs/>
                <w:color w:val="FFFFFF"/>
                <w:sz w:val="18"/>
                <w:szCs w:val="18"/>
                <w:lang w:val="en-US"/>
              </w:rPr>
              <w:t xml:space="preserve"> (kulta)</w:t>
            </w:r>
          </w:p>
        </w:tc>
      </w:tr>
      <w:tr w:rsidR="005D798C" w:rsidRPr="005D798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40" w:type="dxa"/>
            <w:shd w:val="clear" w:color="auto" w:fill="DDDDDD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proofErr w:type="gramStart"/>
            <w:r w:rsidRPr="005D798C">
              <w:rPr>
                <w:rFonts w:asciiTheme="majorHAnsi" w:hAnsiTheme="majorHAnsi" w:cs="Times"/>
                <w:b/>
                <w:bCs/>
                <w:color w:val="201F1F"/>
                <w:sz w:val="18"/>
                <w:szCs w:val="18"/>
                <w:lang w:val="en-US"/>
              </w:rPr>
              <w:t>vahvuuksia</w:t>
            </w:r>
            <w:proofErr w:type="gramEnd"/>
          </w:p>
        </w:tc>
        <w:tc>
          <w:tcPr>
            <w:tcW w:w="33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  <w:t>–  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vuokratuottoa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sijoitusaikana </w:t>
            </w:r>
          </w:p>
          <w:p w:rsidR="005D798C" w:rsidRPr="005D798C" w:rsidRDefault="005D798C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  <w:t>–  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hinta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voi nousta hyvällä alueella nopeastikin </w:t>
            </w:r>
          </w:p>
          <w:p w:rsidR="005D798C" w:rsidRPr="005D798C" w:rsidRDefault="005D798C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  <w:t>–  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kasvukeskuksissa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varsin varma sijoituskohde, maa ei lisäänny </w:t>
            </w:r>
          </w:p>
        </w:tc>
        <w:tc>
          <w:tcPr>
            <w:tcW w:w="33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– 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vanhojen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esineiden arvo yleensä kasvaa</w:t>
            </w:r>
          </w:p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– 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sijoituksesta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saa esteettistä nautintoa</w:t>
            </w:r>
          </w:p>
        </w:tc>
        <w:tc>
          <w:tcPr>
            <w:tcW w:w="33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  <w:t>–  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luonto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huolehtii sijoituksen arvon- noususta </w:t>
            </w:r>
          </w:p>
          <w:p w:rsidR="005D798C" w:rsidRPr="005D798C" w:rsidRDefault="005D798C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  <w:t>–  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sijoitukselle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saa hyvän tuoton </w:t>
            </w:r>
          </w:p>
          <w:p w:rsidR="005D798C" w:rsidRPr="005D798C" w:rsidRDefault="005D798C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  <w:t>–  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omassa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metsässä on kiva tarpoa </w:t>
            </w:r>
          </w:p>
        </w:tc>
        <w:tc>
          <w:tcPr>
            <w:tcW w:w="3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  <w:t>–  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perinteinen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sijoitus- kohde, johon luotetaan kun kaikki muu on menettänyt arvonsa </w:t>
            </w:r>
          </w:p>
          <w:p w:rsidR="005D798C" w:rsidRPr="005D798C" w:rsidRDefault="005D798C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  <w:t>–  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sijoituskullasta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ei tarvitse maksaa arvonlisäveroa </w:t>
            </w:r>
          </w:p>
        </w:tc>
      </w:tr>
      <w:tr w:rsidR="005D798C" w:rsidRPr="005D798C">
        <w:tblPrEx>
          <w:tblCellMar>
            <w:top w:w="0" w:type="dxa"/>
            <w:bottom w:w="0" w:type="dxa"/>
          </w:tblCellMar>
        </w:tblPrEx>
        <w:tc>
          <w:tcPr>
            <w:tcW w:w="1940" w:type="dxa"/>
            <w:shd w:val="clear" w:color="auto" w:fill="DDDDDD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proofErr w:type="gramStart"/>
            <w:r w:rsidRPr="005D798C">
              <w:rPr>
                <w:rFonts w:asciiTheme="majorHAnsi" w:hAnsiTheme="majorHAnsi" w:cs="Times"/>
                <w:b/>
                <w:bCs/>
                <w:color w:val="201F1F"/>
                <w:sz w:val="18"/>
                <w:szCs w:val="18"/>
                <w:lang w:val="en-US"/>
              </w:rPr>
              <w:t>heikkouksia</w:t>
            </w:r>
            <w:proofErr w:type="gramEnd"/>
          </w:p>
        </w:tc>
        <w:tc>
          <w:tcPr>
            <w:tcW w:w="33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– 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vaatii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paljon pääomaa – jatkuvia korjaus- ym. 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ylläpitokuluja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(hoito-</w:t>
            </w:r>
          </w:p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vastike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) – vuokralaisten kanssa</w:t>
            </w:r>
          </w:p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kaikki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ei aina suju</w:t>
            </w:r>
          </w:p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hyvin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 – huonolla paikalla</w:t>
            </w:r>
          </w:p>
          <w:p w:rsidR="005D798C" w:rsidRPr="005D798C" w:rsidRDefault="005D79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sijaitsevasta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asun- nosta voi olla vaikea päästä eroon</w:t>
            </w:r>
          </w:p>
        </w:tc>
        <w:tc>
          <w:tcPr>
            <w:tcW w:w="33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  <w:t>–  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taide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ei käy kaupaksi laskusuhdanteessa </w:t>
            </w:r>
          </w:p>
          <w:p w:rsidR="005D798C" w:rsidRPr="005D798C" w:rsidRDefault="005D798C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  <w:t>–  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tuotto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on epävarma, </w:t>
            </w:r>
            <w:r w:rsidRPr="005D798C">
              <w:rPr>
                <w:rFonts w:asciiTheme="majorHAnsi" w:hAnsiTheme="majorHAnsi" w:cs="Times"/>
                <w:sz w:val="18"/>
                <w:szCs w:val="18"/>
                <w:lang w:val="en-US"/>
              </w:rPr>
              <w:t> </w:t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taiteen hintaa on </w:t>
            </w:r>
            <w:r w:rsidRPr="005D798C">
              <w:rPr>
                <w:rFonts w:asciiTheme="majorHAnsi" w:hAnsiTheme="majorHAnsi" w:cs="Times"/>
                <w:sz w:val="18"/>
                <w:szCs w:val="18"/>
                <w:lang w:val="en-US"/>
              </w:rPr>
              <w:t> </w:t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vaikea määritellä </w:t>
            </w:r>
          </w:p>
          <w:p w:rsidR="005D798C" w:rsidRPr="005D798C" w:rsidRDefault="005D798C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  <w:t>–  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väärennökset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3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  <w:t>–  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metsä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vaatii hoitamista </w:t>
            </w:r>
          </w:p>
          <w:p w:rsidR="005D798C" w:rsidRPr="005D798C" w:rsidRDefault="005D798C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  <w:t>–  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sijoitusaika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on tosi pitkä, jopa vuosikymmeniä </w:t>
            </w:r>
          </w:p>
          <w:p w:rsidR="005D798C" w:rsidRPr="005D798C" w:rsidRDefault="005D798C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  <w:t>–  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metsäpalot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798C" w:rsidRPr="005D798C" w:rsidRDefault="005D798C">
            <w:pPr>
              <w:widowControl w:val="0"/>
              <w:numPr>
                <w:ilvl w:val="0"/>
                <w:numId w:val="1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  <w:t>–  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harvinainen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sijoitus- kohde Suomessa, sijoituskultaa vaikea hankkia (pankit eivät välitä) </w:t>
            </w:r>
          </w:p>
          <w:p w:rsidR="005D798C" w:rsidRPr="005D798C" w:rsidRDefault="005D798C">
            <w:pPr>
              <w:widowControl w:val="0"/>
              <w:numPr>
                <w:ilvl w:val="0"/>
                <w:numId w:val="1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Theme="majorHAnsi" w:hAnsiTheme="majorHAnsi" w:cs="Times"/>
                <w:sz w:val="18"/>
                <w:szCs w:val="18"/>
                <w:lang w:val="en-US"/>
              </w:rPr>
            </w:pP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</w:r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ab/>
              <w:t>–  (</w:t>
            </w:r>
            <w:proofErr w:type="gramStart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>lisätietoja</w:t>
            </w:r>
            <w:proofErr w:type="gramEnd"/>
            <w:r w:rsidRPr="005D798C">
              <w:rPr>
                <w:rFonts w:asciiTheme="majorHAnsi" w:hAnsiTheme="majorHAnsi" w:cs="Times"/>
                <w:color w:val="201F1F"/>
                <w:sz w:val="18"/>
                <w:szCs w:val="18"/>
                <w:lang w:val="en-US"/>
              </w:rPr>
              <w:t xml:space="preserve"> www.kultakeskus.com) </w:t>
            </w:r>
          </w:p>
        </w:tc>
      </w:tr>
    </w:tbl>
    <w:p w:rsidR="005D798C" w:rsidRDefault="005D798C" w:rsidP="005D798C">
      <w:pPr>
        <w:widowControl w:val="0"/>
        <w:autoSpaceDE w:val="0"/>
        <w:autoSpaceDN w:val="0"/>
        <w:adjustRightInd w:val="0"/>
        <w:spacing w:after="240"/>
        <w:rPr>
          <w:rFonts w:cs="Times"/>
          <w:b/>
          <w:bCs/>
          <w:color w:val="828282"/>
          <w:sz w:val="20"/>
          <w:szCs w:val="20"/>
          <w:lang w:val="en-US"/>
        </w:rPr>
      </w:pPr>
    </w:p>
    <w:p w:rsidR="005D798C" w:rsidRDefault="005D798C" w:rsidP="005D798C">
      <w:pPr>
        <w:widowControl w:val="0"/>
        <w:autoSpaceDE w:val="0"/>
        <w:autoSpaceDN w:val="0"/>
        <w:adjustRightInd w:val="0"/>
        <w:spacing w:after="240"/>
        <w:rPr>
          <w:rFonts w:cs="Times"/>
          <w:b/>
          <w:bCs/>
          <w:color w:val="828282"/>
          <w:sz w:val="20"/>
          <w:szCs w:val="20"/>
          <w:lang w:val="en-US"/>
        </w:rPr>
      </w:pPr>
    </w:p>
    <w:p w:rsidR="005D798C" w:rsidRPr="005D798C" w:rsidRDefault="005D798C" w:rsidP="005D798C">
      <w:pPr>
        <w:widowControl w:val="0"/>
        <w:autoSpaceDE w:val="0"/>
        <w:autoSpaceDN w:val="0"/>
        <w:adjustRightInd w:val="0"/>
        <w:spacing w:after="240"/>
        <w:rPr>
          <w:rFonts w:cs="Times"/>
          <w:sz w:val="20"/>
          <w:szCs w:val="20"/>
          <w:lang w:val="en-US"/>
        </w:rPr>
      </w:pPr>
    </w:p>
    <w:p w:rsidR="005D798C" w:rsidRPr="005D798C" w:rsidRDefault="005D798C" w:rsidP="005D798C">
      <w:pPr>
        <w:widowControl w:val="0"/>
        <w:autoSpaceDE w:val="0"/>
        <w:autoSpaceDN w:val="0"/>
        <w:adjustRightInd w:val="0"/>
        <w:spacing w:after="240"/>
        <w:rPr>
          <w:rFonts w:cs="Times"/>
          <w:sz w:val="20"/>
          <w:szCs w:val="20"/>
          <w:lang w:val="en-US"/>
        </w:rPr>
      </w:pPr>
      <w:r w:rsidRPr="005D798C">
        <w:rPr>
          <w:rFonts w:cs="Times"/>
          <w:b/>
          <w:bCs/>
          <w:color w:val="201F1F"/>
          <w:sz w:val="20"/>
          <w:szCs w:val="20"/>
          <w:lang w:val="en-US"/>
        </w:rPr>
        <w:t>Taulukuva osakkeen hinnan taustatekijöistä</w:t>
      </w:r>
    </w:p>
    <w:p w:rsidR="005D798C" w:rsidRPr="005D798C" w:rsidRDefault="005D798C" w:rsidP="005D798C">
      <w:pPr>
        <w:widowControl w:val="0"/>
        <w:autoSpaceDE w:val="0"/>
        <w:autoSpaceDN w:val="0"/>
        <w:adjustRightInd w:val="0"/>
        <w:rPr>
          <w:rFonts w:cs="Times"/>
          <w:sz w:val="20"/>
          <w:szCs w:val="20"/>
          <w:lang w:val="en-US"/>
        </w:rPr>
      </w:pPr>
      <w:r w:rsidRPr="005D798C">
        <w:rPr>
          <w:rFonts w:cs="Times"/>
          <w:noProof/>
          <w:sz w:val="20"/>
          <w:szCs w:val="20"/>
          <w:lang w:val="en-US"/>
        </w:rPr>
        <w:drawing>
          <wp:inline distT="0" distB="0" distL="0" distR="0" wp14:anchorId="681E7D4C" wp14:editId="74B9BF66">
            <wp:extent cx="4640580" cy="825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98C" w:rsidRPr="005D798C" w:rsidRDefault="005D798C" w:rsidP="005D798C">
      <w:pPr>
        <w:widowControl w:val="0"/>
        <w:autoSpaceDE w:val="0"/>
        <w:autoSpaceDN w:val="0"/>
        <w:adjustRightInd w:val="0"/>
        <w:spacing w:after="240"/>
        <w:rPr>
          <w:rFonts w:cs="Times"/>
          <w:sz w:val="20"/>
          <w:szCs w:val="20"/>
          <w:lang w:val="en-US"/>
        </w:rPr>
      </w:pPr>
      <w:r w:rsidRPr="005D798C">
        <w:rPr>
          <w:rFonts w:cs="Times"/>
          <w:b/>
          <w:bCs/>
          <w:color w:val="201F1F"/>
          <w:sz w:val="20"/>
          <w:szCs w:val="20"/>
          <w:lang w:val="en-US"/>
        </w:rPr>
        <w:t>Osakkeiden yleiseen hintatasoon vaikuttavat:</w:t>
      </w:r>
    </w:p>
    <w:p w:rsidR="005D798C" w:rsidRPr="005D798C" w:rsidRDefault="005D798C" w:rsidP="005D798C">
      <w:pPr>
        <w:widowControl w:val="0"/>
        <w:autoSpaceDE w:val="0"/>
        <w:autoSpaceDN w:val="0"/>
        <w:adjustRightInd w:val="0"/>
        <w:spacing w:after="240"/>
        <w:rPr>
          <w:rFonts w:cs="Times"/>
          <w:sz w:val="20"/>
          <w:szCs w:val="20"/>
          <w:lang w:val="en-US"/>
        </w:rPr>
      </w:pPr>
      <w:r w:rsidRPr="005D798C">
        <w:rPr>
          <w:rFonts w:cs="Times"/>
          <w:color w:val="201F1F"/>
          <w:sz w:val="20"/>
          <w:szCs w:val="20"/>
          <w:lang w:val="en-US"/>
        </w:rPr>
        <w:t>1) Taloussuhdanne</w:t>
      </w:r>
    </w:p>
    <w:p w:rsidR="005D798C" w:rsidRPr="005D798C" w:rsidRDefault="005D798C" w:rsidP="005D798C">
      <w:pPr>
        <w:widowControl w:val="0"/>
        <w:autoSpaceDE w:val="0"/>
        <w:autoSpaceDN w:val="0"/>
        <w:adjustRightInd w:val="0"/>
        <w:spacing w:after="240"/>
        <w:rPr>
          <w:rFonts w:cs="Times"/>
          <w:sz w:val="20"/>
          <w:szCs w:val="20"/>
          <w:lang w:val="en-US"/>
        </w:rPr>
      </w:pPr>
      <w:r w:rsidRPr="005D798C">
        <w:rPr>
          <w:rFonts w:cs="Times"/>
          <w:color w:val="201F1F"/>
          <w:position w:val="-3"/>
          <w:sz w:val="20"/>
          <w:szCs w:val="20"/>
          <w:lang w:val="en-US"/>
        </w:rPr>
        <w:t xml:space="preserve">• </w:t>
      </w:r>
      <w:proofErr w:type="gramStart"/>
      <w:r w:rsidRPr="005D798C">
        <w:rPr>
          <w:rFonts w:cs="Times"/>
          <w:color w:val="201F1F"/>
          <w:sz w:val="20"/>
          <w:szCs w:val="20"/>
          <w:lang w:val="en-US"/>
        </w:rPr>
        <w:t>Noususuhdanteessa yrityksillä menee hyvin, joten osakkeiden hinta kohoaa, laskusuhdanteessa päinvastoin.</w:t>
      </w:r>
      <w:proofErr w:type="gramEnd"/>
    </w:p>
    <w:p w:rsidR="005D798C" w:rsidRPr="005D798C" w:rsidRDefault="005D798C" w:rsidP="005D798C">
      <w:pPr>
        <w:widowControl w:val="0"/>
        <w:autoSpaceDE w:val="0"/>
        <w:autoSpaceDN w:val="0"/>
        <w:adjustRightInd w:val="0"/>
        <w:spacing w:after="240"/>
        <w:rPr>
          <w:rFonts w:cs="Times"/>
          <w:sz w:val="20"/>
          <w:szCs w:val="20"/>
          <w:lang w:val="en-US"/>
        </w:rPr>
      </w:pPr>
      <w:r w:rsidRPr="005D798C">
        <w:rPr>
          <w:rFonts w:cs="Times"/>
          <w:color w:val="201F1F"/>
          <w:sz w:val="20"/>
          <w:szCs w:val="20"/>
          <w:lang w:val="en-US"/>
        </w:rPr>
        <w:t>2) Korkotaso</w:t>
      </w:r>
    </w:p>
    <w:p w:rsidR="006A4E89" w:rsidRPr="005D798C" w:rsidRDefault="005D798C" w:rsidP="005D798C">
      <w:pPr>
        <w:widowControl w:val="0"/>
        <w:autoSpaceDE w:val="0"/>
        <w:autoSpaceDN w:val="0"/>
        <w:adjustRightInd w:val="0"/>
        <w:spacing w:after="240"/>
        <w:rPr>
          <w:rFonts w:cs="Times"/>
          <w:sz w:val="20"/>
          <w:szCs w:val="20"/>
          <w:lang w:val="en-US"/>
        </w:rPr>
      </w:pPr>
      <w:r w:rsidRPr="005D798C">
        <w:rPr>
          <w:rFonts w:cs="Times"/>
          <w:color w:val="201F1F"/>
          <w:position w:val="-3"/>
          <w:sz w:val="20"/>
          <w:szCs w:val="20"/>
          <w:lang w:val="en-US"/>
        </w:rPr>
        <w:t xml:space="preserve">• </w:t>
      </w:r>
      <w:r w:rsidRPr="005D798C">
        <w:rPr>
          <w:rFonts w:cs="Times"/>
          <w:color w:val="201F1F"/>
          <w:sz w:val="20"/>
          <w:szCs w:val="20"/>
          <w:lang w:val="en-US"/>
        </w:rPr>
        <w:t xml:space="preserve">Jos korot ovat korkealla, sijoittajat myyvät osakkeitaan </w:t>
      </w:r>
      <w:proofErr w:type="gramStart"/>
      <w:r w:rsidRPr="005D798C">
        <w:rPr>
          <w:rFonts w:cs="Times"/>
          <w:color w:val="201F1F"/>
          <w:sz w:val="20"/>
          <w:szCs w:val="20"/>
          <w:lang w:val="en-US"/>
        </w:rPr>
        <w:t>ja</w:t>
      </w:r>
      <w:proofErr w:type="gramEnd"/>
      <w:r w:rsidRPr="005D798C">
        <w:rPr>
          <w:rFonts w:cs="Times"/>
          <w:color w:val="201F1F"/>
          <w:sz w:val="20"/>
          <w:szCs w:val="20"/>
          <w:lang w:val="en-US"/>
        </w:rPr>
        <w:t xml:space="preserve"> siirtävät rahojaan ns. korkoinstrumentteihin, jolloin osakkeiden hinta laskee.</w:t>
      </w:r>
      <w:bookmarkStart w:id="0" w:name="_GoBack"/>
      <w:bookmarkEnd w:id="0"/>
    </w:p>
    <w:sectPr w:rsidR="006A4E89" w:rsidRPr="005D798C" w:rsidSect="005D798C">
      <w:pgSz w:w="15840" w:h="12240" w:orient="landscape"/>
      <w:pgMar w:top="1134" w:right="1417" w:bottom="113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48"/>
  <w:proofState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8C"/>
    <w:rsid w:val="005D798C"/>
    <w:rsid w:val="006A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66C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5D798C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5D798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5D798C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5D798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296</Words>
  <Characters>2400</Characters>
  <Application>Microsoft Macintosh Word</Application>
  <DocSecurity>0</DocSecurity>
  <Lines>20</Lines>
  <Paragraphs>5</Paragraphs>
  <ScaleCrop>false</ScaleCrop>
  <Company>PSYL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Leivo</dc:creator>
  <cp:keywords/>
  <dc:description/>
  <cp:lastModifiedBy>Jari Leivo</cp:lastModifiedBy>
  <cp:revision>1</cp:revision>
  <dcterms:created xsi:type="dcterms:W3CDTF">2014-04-24T19:46:00Z</dcterms:created>
  <dcterms:modified xsi:type="dcterms:W3CDTF">2014-04-24T19:51:00Z</dcterms:modified>
</cp:coreProperties>
</file>